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安吉县第二小学教育集团选调教师测试形式及要求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一、报名时间和联系人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1.报名时间：6月23日（周四）8:30——15:00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2.报名联系人：胡</w:t>
      </w:r>
      <w:r>
        <w:rPr>
          <w:rFonts w:hint="eastAsia" w:ascii="宋体" w:hAnsi="宋体" w:eastAsia="宋体"/>
          <w:sz w:val="24"/>
          <w:szCs w:val="24"/>
          <w:lang w:eastAsia="zh-CN"/>
        </w:rPr>
        <w:t>老师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报名电话：13094851323(短号：81323)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二、测试形式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采取现场备课、上微型课和个人综合实绩及面谈相结合的形式。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三、测试时间和地点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时间：2022年6月2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</w:rPr>
        <w:t>日上午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地点：第二小学教育集团（递铺校区）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四、测试办法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（一）测试内容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1．教学能力：教学设计、上微型课。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语文、数学：部编版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——12册教材内容；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英语、科学：教科版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</w:rPr>
        <w:t>——12册教材内容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音乐：人音版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——12册教材内容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体育：浙教版“水平二”、“水平三”教学内容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美术：浙人美版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——12册教材内容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信息技术：浙摄版</w:t>
      </w:r>
      <w:r>
        <w:rPr>
          <w:rFonts w:hint="eastAsia" w:ascii="宋体" w:hAnsi="宋体" w:eastAsia="宋体"/>
          <w:sz w:val="24"/>
          <w:szCs w:val="24"/>
          <w:lang w:eastAsia="zh-CN"/>
        </w:rPr>
        <w:t>三到</w:t>
      </w:r>
      <w:r>
        <w:rPr>
          <w:rFonts w:hint="eastAsia" w:ascii="宋体" w:hAnsi="宋体" w:eastAsia="宋体"/>
          <w:sz w:val="24"/>
          <w:szCs w:val="24"/>
        </w:rPr>
        <w:t>六年级教材内容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综合实绩：近三年年度考核情况（均需合格以上，其中2020学年考核校内排名须在前70%）、近三年来（2019年9月1日至今）业务类获奖情况（优质课、公开课、课题、论文、说课、竞赛等专业实绩）及其他各类荣誉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面谈：主要了解该教师工作积极性高，工作状态佳（不传递负能量），愿意挑重担（任班主任），师德师风优，无体罚学生、有偿家教等违规事项。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（二）测试程序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教学设计。备课时间40分钟，备课时不得携带教辅用书和电子资料等。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上微型课。上课时间12分钟。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查证。核实有关综合实绩材料（提供证书原件和复印件）。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面谈。主要了解该教师日常工作态度。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（三）评分办法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教学设计：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分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上微型课：60分。A等51——60分，B等41——50分，C等31——40分，D等30分及以下。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综合实绩：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0分。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综合实绩计分细则（各单项均不超过权重分，满分限额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0分。上交获奖证书原件及复印件按表格内容顺序整理用档案袋装好，待选调工作原件审核结束后，原件返还。）</w:t>
      </w:r>
    </w:p>
    <w:tbl>
      <w:tblPr>
        <w:tblStyle w:val="5"/>
        <w:tblW w:w="85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993"/>
        <w:gridCol w:w="1275"/>
        <w:gridCol w:w="1560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4149" w:type="dxa"/>
            <w:gridSpan w:val="3"/>
            <w:tcBorders>
              <w:tl2br w:val="single" w:color="auto" w:sz="4" w:space="0"/>
            </w:tcBorders>
          </w:tcPr>
          <w:p>
            <w:pPr>
              <w:spacing w:line="500" w:lineRule="exact"/>
              <w:ind w:firstLine="3000" w:firstLineChars="125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级别</w:t>
            </w:r>
          </w:p>
          <w:p>
            <w:pPr>
              <w:spacing w:line="50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类别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分值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省级及以上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市级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县级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874" w:type="dxa"/>
            <w:gridSpan w:val="2"/>
            <w:vMerge w:val="restart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优质课评比（</w:t>
            </w: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分）</w:t>
            </w: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874" w:type="dxa"/>
            <w:gridSpan w:val="2"/>
            <w:vMerge w:val="continue"/>
          </w:tcPr>
          <w:p>
            <w:pPr>
              <w:spacing w:line="50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874" w:type="dxa"/>
            <w:gridSpan w:val="2"/>
            <w:vMerge w:val="continue"/>
          </w:tcPr>
          <w:p>
            <w:pPr>
              <w:spacing w:line="50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三等奖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0.5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874" w:type="dxa"/>
            <w:gridSpan w:val="2"/>
            <w:vMerge w:val="restart"/>
          </w:tcPr>
          <w:p>
            <w:pPr>
              <w:spacing w:line="5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单项类比赛（说课、案例设计、课件制作、解题能力、命题、录像课等）（</w:t>
            </w: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分）</w:t>
            </w: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74" w:type="dxa"/>
            <w:gridSpan w:val="2"/>
            <w:vMerge w:val="continue"/>
          </w:tcPr>
          <w:p>
            <w:pPr>
              <w:spacing w:line="50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74" w:type="dxa"/>
            <w:gridSpan w:val="2"/>
            <w:vMerge w:val="restart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课题、论文（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分）</w:t>
            </w: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2.5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874" w:type="dxa"/>
            <w:gridSpan w:val="2"/>
            <w:vMerge w:val="continue"/>
            <w:vAlign w:val="center"/>
          </w:tcPr>
          <w:p>
            <w:pPr>
              <w:spacing w:line="50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2.5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4" w:type="dxa"/>
            <w:gridSpan w:val="2"/>
            <w:vMerge w:val="continue"/>
            <w:vAlign w:val="center"/>
          </w:tcPr>
          <w:p>
            <w:pPr>
              <w:spacing w:line="500" w:lineRule="exact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三等奖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sz w:val="24"/>
                <w:szCs w:val="24"/>
              </w:rPr>
              <w:t>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149" w:type="dxa"/>
            <w:gridSpan w:val="3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公开课（讲座、学术交流）（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分）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1.5</w:t>
            </w: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881" w:type="dxa"/>
            <w:vMerge w:val="restart"/>
            <w:vAlign w:val="center"/>
          </w:tcPr>
          <w:p>
            <w:pPr>
              <w:spacing w:line="5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其他（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分）</w:t>
            </w:r>
          </w:p>
        </w:tc>
        <w:tc>
          <w:tcPr>
            <w:tcW w:w="6663" w:type="dxa"/>
            <w:gridSpan w:val="5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业务类市级及以上荣誉得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分，县级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分；（教坛新秀、教学明星、教改之星、教学能手）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81" w:type="dxa"/>
            <w:vMerge w:val="continue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单项荣誉市级及以上荣誉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分，县级1分；（教研大组成员、美丽教师、优秀班主任、德育导师等）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8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63" w:type="dxa"/>
            <w:gridSpan w:val="5"/>
          </w:tcPr>
          <w:p>
            <w:pPr>
              <w:spacing w:line="5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年度考核每年考核优秀1次</w:t>
            </w:r>
            <w:r>
              <w:rPr>
                <w:rFonts w:ascii="宋体" w:hAnsi="宋体" w:eastAsia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分（近3年）</w:t>
            </w:r>
          </w:p>
        </w:tc>
      </w:tr>
    </w:tbl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</w:t>
      </w:r>
      <w:r>
        <w:rPr>
          <w:rFonts w:hint="eastAsia" w:ascii="宋体" w:hAnsi="宋体" w:eastAsia="宋体"/>
          <w:sz w:val="24"/>
          <w:szCs w:val="24"/>
        </w:rPr>
        <w:t>面谈（2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分）。考核组根据面谈情况打分。</w:t>
      </w:r>
    </w:p>
    <w:p>
      <w:pPr>
        <w:spacing w:line="5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（四）其它说明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1.评审办法：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（1）学校测试满分为1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分，7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分以下为不合格，不合格者不进入下一程序，并及时通知本人。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（2）学校测试结束后根据成绩从高分到低分排列，测试合格人员中按1：1比例确定拟录用人选，并报教育局组织人事科审核。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2.学校成立选调评审专家组，由学校专任教师和校外学科骨干教师组成，同时成立监督小组，由学区领导和校监组组成，以“公开、公平、公正”的原则开展教师选调工作。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3.教师选调的评委、上课内容均临时确定，当场抽序。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4.整个选调过程，请各位选调教师服从学校安排。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5.如对提供材料有弄虚作假的情况，一经查实取消选调资格。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6.选调进入安吉县第二小学教育集团的教师，服从学校岗位安排，且服从两校区之间的调剂，遵从学校岗位设置实施方案，否则不予聘任。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7.监督投诉：0572-5188805（教育局组织人事科）。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8.一票否决项：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经了解，近三年在学校师德师风考核中成绩较差，或教师意见较大，受到教育局或学校处分，或在学校、社会上造成不良影响的。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经了解，近三年在学校教学常规（备课笔记、听课笔记）考核中不符合学校要求，态度表现不佳，或考核不合格。</w:t>
      </w:r>
    </w:p>
    <w:p>
      <w:pPr>
        <w:spacing w:line="5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在微型课测试中成绩不合格（或处在C等及以下）。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2020学年考核校内排名在后30%的。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5MzQyOTUxZDMyNzgyNTZlOTgwMDY5YzY1NzVkYTkifQ=="/>
  </w:docVars>
  <w:rsids>
    <w:rsidRoot w:val="00ED5EEC"/>
    <w:rsid w:val="00050236"/>
    <w:rsid w:val="00135604"/>
    <w:rsid w:val="001B6BA9"/>
    <w:rsid w:val="00302994"/>
    <w:rsid w:val="003653D2"/>
    <w:rsid w:val="004D211E"/>
    <w:rsid w:val="00513A35"/>
    <w:rsid w:val="006666C7"/>
    <w:rsid w:val="007118DA"/>
    <w:rsid w:val="00881F0C"/>
    <w:rsid w:val="0088749A"/>
    <w:rsid w:val="00B32C91"/>
    <w:rsid w:val="00C35B53"/>
    <w:rsid w:val="00D80E8F"/>
    <w:rsid w:val="00DB7808"/>
    <w:rsid w:val="00E86EEC"/>
    <w:rsid w:val="00EB1334"/>
    <w:rsid w:val="00EB504D"/>
    <w:rsid w:val="00ED5EEC"/>
    <w:rsid w:val="29103368"/>
    <w:rsid w:val="46C35166"/>
    <w:rsid w:val="6D390B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1449</Words>
  <Characters>1561</Characters>
  <Lines>12</Lines>
  <Paragraphs>3</Paragraphs>
  <TotalTime>81</TotalTime>
  <ScaleCrop>false</ScaleCrop>
  <LinksUpToDate>false</LinksUpToDate>
  <CharactersWithSpaces>1572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2022-06-20T23:28:00Z</dcterms:created>
  <dc:creator>听风的歌</dc:creator>
  <cp:lastModifiedBy>柠檬黄</cp:lastModifiedBy>
  <dcterms:modified xsi:type="dcterms:W3CDTF">2022-06-21T05:44:18Z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8B19E2C3DCCD4DEB996595C35473AF93</vt:lpwstr>
  </property>
</Properties>
</file>